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DC" w:rsidRPr="00CC498B" w:rsidRDefault="00C712DC" w:rsidP="00C712DC">
      <w:pPr>
        <w:jc w:val="center"/>
        <w:rPr>
          <w:rFonts w:ascii="Palatino Linotype" w:hAnsi="Palatino Linotype"/>
          <w:b/>
        </w:rPr>
      </w:pPr>
      <w:r w:rsidRPr="00CC498B">
        <w:rPr>
          <w:rFonts w:ascii="Palatino Linotype" w:hAnsi="Palatino Linotype"/>
          <w:b/>
        </w:rPr>
        <w:t>LOCAL ADDICTION PREVENTION AND PLANNING COMMITTEE</w:t>
      </w:r>
    </w:p>
    <w:p w:rsidR="00C712DC" w:rsidRPr="00CC498B" w:rsidRDefault="00C712DC" w:rsidP="00C712DC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September 6, 2017</w:t>
      </w:r>
    </w:p>
    <w:p w:rsidR="00C712DC" w:rsidRPr="00CA498E" w:rsidRDefault="00C712DC" w:rsidP="00C712DC">
      <w:pPr>
        <w:jc w:val="center"/>
        <w:rPr>
          <w:rFonts w:ascii="Palatino Linotype" w:hAnsi="Palatino Linotype"/>
          <w:b/>
          <w:sz w:val="16"/>
          <w:szCs w:val="16"/>
        </w:rPr>
      </w:pPr>
    </w:p>
    <w:p w:rsidR="00C712DC" w:rsidRDefault="00C712DC" w:rsidP="00C712DC">
      <w:pPr>
        <w:jc w:val="center"/>
        <w:rPr>
          <w:rFonts w:ascii="Palatino Linotype" w:hAnsi="Palatino Linotype"/>
          <w:b/>
          <w:sz w:val="22"/>
          <w:szCs w:val="22"/>
        </w:rPr>
      </w:pPr>
      <w:r w:rsidRPr="00CC498B">
        <w:rPr>
          <w:rFonts w:ascii="Palatino Linotype" w:hAnsi="Palatino Linotype"/>
          <w:b/>
          <w:sz w:val="22"/>
          <w:szCs w:val="22"/>
        </w:rPr>
        <w:t xml:space="preserve">Present: </w:t>
      </w:r>
      <w:r>
        <w:rPr>
          <w:rFonts w:ascii="Palatino Linotype" w:hAnsi="Palatino Linotype"/>
          <w:b/>
          <w:sz w:val="22"/>
          <w:szCs w:val="22"/>
        </w:rPr>
        <w:t xml:space="preserve">Aaron Felton, Chief Darrell </w:t>
      </w:r>
      <w:proofErr w:type="spellStart"/>
      <w:r>
        <w:rPr>
          <w:rFonts w:ascii="Palatino Linotype" w:hAnsi="Palatino Linotype"/>
          <w:b/>
          <w:sz w:val="22"/>
          <w:szCs w:val="22"/>
        </w:rPr>
        <w:t>Tallen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, Kirk </w:t>
      </w:r>
      <w:proofErr w:type="spellStart"/>
      <w:r>
        <w:rPr>
          <w:rFonts w:ascii="Palatino Linotype" w:hAnsi="Palatino Linotype"/>
          <w:b/>
          <w:sz w:val="22"/>
          <w:szCs w:val="22"/>
        </w:rPr>
        <w:t>Hillebrand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, Sara Dotson, Mark Davis, Jennifer </w:t>
      </w:r>
      <w:proofErr w:type="spellStart"/>
      <w:r>
        <w:rPr>
          <w:rFonts w:ascii="Palatino Linotype" w:hAnsi="Palatino Linotype"/>
          <w:b/>
          <w:sz w:val="22"/>
          <w:szCs w:val="22"/>
        </w:rPr>
        <w:t>Lief</w:t>
      </w:r>
      <w:proofErr w:type="spellEnd"/>
      <w:r>
        <w:rPr>
          <w:rFonts w:ascii="Palatino Linotype" w:hAnsi="Palatino Linotype"/>
          <w:b/>
          <w:sz w:val="22"/>
          <w:szCs w:val="22"/>
        </w:rPr>
        <w:t>, Jodi Merritt, Commissioner Mike Ainsworth</w:t>
      </w:r>
    </w:p>
    <w:p w:rsidR="00C712DC" w:rsidRDefault="00C712DC" w:rsidP="00C712DC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712DC" w:rsidRPr="00CC498B" w:rsidRDefault="00C712DC" w:rsidP="00C712DC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Regrets: Linda Miller and Katie Martin</w:t>
      </w:r>
    </w:p>
    <w:p w:rsidR="00C712DC" w:rsidRPr="00CA498E" w:rsidRDefault="00C712DC" w:rsidP="00C712DC">
      <w:pPr>
        <w:jc w:val="center"/>
        <w:rPr>
          <w:rFonts w:ascii="Palatino Linotype" w:hAnsi="Palatino Linotype"/>
          <w:b/>
          <w:sz w:val="16"/>
          <w:szCs w:val="16"/>
        </w:rPr>
      </w:pPr>
    </w:p>
    <w:tbl>
      <w:tblPr>
        <w:tblW w:w="144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8399"/>
        <w:gridCol w:w="3453"/>
      </w:tblGrid>
      <w:tr w:rsidR="00C712DC" w:rsidRPr="00E66FD7" w:rsidTr="005B6D94">
        <w:trPr>
          <w:trHeight w:val="530"/>
        </w:trPr>
        <w:tc>
          <w:tcPr>
            <w:tcW w:w="2595" w:type="dxa"/>
            <w:vAlign w:val="center"/>
          </w:tcPr>
          <w:p w:rsidR="00C712DC" w:rsidRPr="00E66FD7" w:rsidRDefault="00C712DC" w:rsidP="005B6D94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TOPIC</w:t>
            </w:r>
          </w:p>
        </w:tc>
        <w:tc>
          <w:tcPr>
            <w:tcW w:w="8399" w:type="dxa"/>
            <w:vAlign w:val="center"/>
          </w:tcPr>
          <w:p w:rsidR="00C712DC" w:rsidRPr="00E66FD7" w:rsidRDefault="00C712DC" w:rsidP="005B6D94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DISCUSSION</w:t>
            </w:r>
          </w:p>
        </w:tc>
        <w:tc>
          <w:tcPr>
            <w:tcW w:w="3453" w:type="dxa"/>
            <w:vAlign w:val="center"/>
          </w:tcPr>
          <w:p w:rsidR="00C712DC" w:rsidRPr="00E66FD7" w:rsidRDefault="00C712DC" w:rsidP="005B6D94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ACTION</w:t>
            </w:r>
          </w:p>
        </w:tc>
      </w:tr>
      <w:tr w:rsidR="00C712DC" w:rsidRPr="00E66FD7" w:rsidTr="005B6D94">
        <w:trPr>
          <w:trHeight w:val="773"/>
        </w:trPr>
        <w:tc>
          <w:tcPr>
            <w:tcW w:w="2595" w:type="dxa"/>
            <w:vAlign w:val="center"/>
          </w:tcPr>
          <w:p w:rsidR="00C712DC" w:rsidRPr="00F74085" w:rsidRDefault="00C712DC" w:rsidP="005B6D94">
            <w:pPr>
              <w:rPr>
                <w:rFonts w:ascii="Palatino Linotype" w:hAnsi="Palatino Linotype"/>
                <w:sz w:val="22"/>
                <w:szCs w:val="22"/>
              </w:rPr>
            </w:pPr>
            <w:r w:rsidRPr="00F74085">
              <w:rPr>
                <w:rFonts w:ascii="Palatino Linotype" w:hAnsi="Palatino Linotype"/>
                <w:b/>
                <w:sz w:val="22"/>
                <w:szCs w:val="22"/>
              </w:rPr>
              <w:t xml:space="preserve">Welcome, Introductions, Minutes </w:t>
            </w:r>
          </w:p>
        </w:tc>
        <w:tc>
          <w:tcPr>
            <w:tcW w:w="8399" w:type="dxa"/>
            <w:vAlign w:val="center"/>
          </w:tcPr>
          <w:p w:rsidR="00C712DC" w:rsidRPr="00CC498B" w:rsidRDefault="00C712DC" w:rsidP="005B6D94">
            <w:pPr>
              <w:spacing w:before="120" w:after="1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Introductions </w:t>
            </w:r>
            <w:proofErr w:type="gramStart"/>
            <w:r>
              <w:rPr>
                <w:rFonts w:ascii="Palatino Linotype" w:hAnsi="Palatino Linotype"/>
                <w:sz w:val="22"/>
                <w:szCs w:val="22"/>
              </w:rPr>
              <w:t>were made</w:t>
            </w:r>
            <w:proofErr w:type="gramEnd"/>
            <w:r>
              <w:rPr>
                <w:rFonts w:ascii="Palatino Linotype" w:hAnsi="Palatino Linotype"/>
                <w:sz w:val="22"/>
                <w:szCs w:val="22"/>
              </w:rPr>
              <w:t xml:space="preserve">.  </w:t>
            </w:r>
          </w:p>
        </w:tc>
        <w:tc>
          <w:tcPr>
            <w:tcW w:w="3453" w:type="dxa"/>
            <w:vAlign w:val="center"/>
          </w:tcPr>
          <w:p w:rsidR="00C712DC" w:rsidRPr="00CC498B" w:rsidRDefault="00C712DC" w:rsidP="00C712DC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CC498B">
              <w:rPr>
                <w:rFonts w:ascii="Palatino Linotype" w:hAnsi="Palatino Linotype"/>
                <w:sz w:val="22"/>
                <w:szCs w:val="22"/>
              </w:rPr>
              <w:t>Information</w:t>
            </w:r>
          </w:p>
        </w:tc>
      </w:tr>
      <w:tr w:rsidR="00C712DC" w:rsidRPr="00E66FD7" w:rsidTr="005B6D94">
        <w:trPr>
          <w:trHeight w:val="701"/>
        </w:trPr>
        <w:tc>
          <w:tcPr>
            <w:tcW w:w="2595" w:type="dxa"/>
            <w:vAlign w:val="center"/>
          </w:tcPr>
          <w:p w:rsidR="00C712DC" w:rsidRPr="00F74085" w:rsidRDefault="00C712DC" w:rsidP="005B6D9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General Discussion Regarding Local Drug Trends</w:t>
            </w:r>
          </w:p>
        </w:tc>
        <w:tc>
          <w:tcPr>
            <w:tcW w:w="8399" w:type="dxa"/>
          </w:tcPr>
          <w:p w:rsidR="00C712DC" w:rsidRDefault="00C712DC" w:rsidP="005B6D94"/>
          <w:p w:rsidR="00C712DC" w:rsidRDefault="00C712DC" w:rsidP="005B6D94">
            <w:r>
              <w:t xml:space="preserve">Some committee members have heard and are hoping that the DEA succeeds in adding </w:t>
            </w:r>
            <w:proofErr w:type="spellStart"/>
            <w:r>
              <w:t>Kratom</w:t>
            </w:r>
            <w:proofErr w:type="spellEnd"/>
            <w:r>
              <w:t xml:space="preserve"> to its schedule list (Schedule </w:t>
            </w:r>
            <w:proofErr w:type="gramStart"/>
            <w:r>
              <w:t>I</w:t>
            </w:r>
            <w:proofErr w:type="gramEnd"/>
            <w:r>
              <w:t xml:space="preserve"> or II).</w:t>
            </w:r>
          </w:p>
          <w:p w:rsidR="00C712DC" w:rsidRDefault="00C712DC" w:rsidP="005B6D94"/>
          <w:p w:rsidR="00C712DC" w:rsidRDefault="00C712DC" w:rsidP="005B6D94">
            <w:r>
              <w:t xml:space="preserve">Police are finding that college order typically order drugs online. It is rare that individuals buy from traditional drug dealers anymore, almost everything </w:t>
            </w:r>
            <w:proofErr w:type="gramStart"/>
            <w:r>
              <w:t>is purchased</w:t>
            </w:r>
            <w:proofErr w:type="gramEnd"/>
            <w:r>
              <w:t xml:space="preserve"> online or they get someone to travel and meet them with drugs. Recently found LSD in the WOU dorms, students had purchased online.</w:t>
            </w:r>
          </w:p>
          <w:p w:rsidR="00C712DC" w:rsidRDefault="00C712DC" w:rsidP="005B6D94"/>
          <w:p w:rsidR="00C712DC" w:rsidRDefault="00C712DC" w:rsidP="005B6D94">
            <w:r>
              <w:t xml:space="preserve">DA’s office stated that since marijuana became legal people using it </w:t>
            </w:r>
            <w:proofErr w:type="gramStart"/>
            <w:r>
              <w:t>don’t</w:t>
            </w:r>
            <w:proofErr w:type="gramEnd"/>
            <w:r>
              <w:t xml:space="preserve"> know when to say when.  There has been a significant increase in Marijuana related DUII’s. The sheriff's department </w:t>
            </w:r>
            <w:proofErr w:type="gramStart"/>
            <w:r>
              <w:t>was given</w:t>
            </w:r>
            <w:proofErr w:type="gramEnd"/>
            <w:r>
              <w:t xml:space="preserve"> scales to weigh drugs and DA will identify criminal history.  There are a couple of ways to determine if it was a </w:t>
            </w:r>
            <w:proofErr w:type="gramStart"/>
            <w:r>
              <w:t>felony-</w:t>
            </w:r>
            <w:proofErr w:type="gramEnd"/>
            <w:r>
              <w:t xml:space="preserve"> OSP states usable quantity - over a tenth of a gram.  Residue cases are typically misdemeanors. First time offenders </w:t>
            </w:r>
            <w:proofErr w:type="gramStart"/>
            <w:r>
              <w:t>are being recommended</w:t>
            </w:r>
            <w:proofErr w:type="gramEnd"/>
            <w:r>
              <w:t xml:space="preserve"> for conditional discharge for PCS.  Legalization of marijuana has changed how we do business.  </w:t>
            </w:r>
            <w:proofErr w:type="gramStart"/>
            <w:r>
              <w:t>Hopefully</w:t>
            </w:r>
            <w:proofErr w:type="gramEnd"/>
            <w:r>
              <w:t xml:space="preserve"> more individuals will be sentenced to treatment. </w:t>
            </w:r>
          </w:p>
          <w:p w:rsidR="00C712DC" w:rsidRDefault="00C712DC" w:rsidP="005B6D94"/>
          <w:p w:rsidR="00C712DC" w:rsidRDefault="00C712DC" w:rsidP="005B6D94">
            <w:r>
              <w:t xml:space="preserve">Chief </w:t>
            </w:r>
            <w:proofErr w:type="spellStart"/>
            <w:r>
              <w:t>Tallan</w:t>
            </w:r>
            <w:proofErr w:type="spellEnd"/>
            <w:r>
              <w:t xml:space="preserve"> reports that the legislature stated police should carry a scale, measure everything, have a </w:t>
            </w:r>
            <w:proofErr w:type="gramStart"/>
            <w:r>
              <w:t>matrix which</w:t>
            </w:r>
            <w:proofErr w:type="gramEnd"/>
            <w:r>
              <w:t xml:space="preserve"> can makes jobs even more difficult.  Monmouth </w:t>
            </w:r>
            <w:r>
              <w:lastRenderedPageBreak/>
              <w:t xml:space="preserve">currently has three recreational marijuana dispensaries. The committee asked if there were any city ordinances. Chief </w:t>
            </w:r>
            <w:proofErr w:type="spellStart"/>
            <w:r>
              <w:t>Tallan</w:t>
            </w:r>
            <w:proofErr w:type="spellEnd"/>
            <w:r>
              <w:t xml:space="preserve"> stated yes, related to zoning. Dispensaries can reside in areas zoned for retail, such as on Main Street and Hwy 99.  </w:t>
            </w:r>
          </w:p>
          <w:p w:rsidR="00C712DC" w:rsidRPr="00CC498B" w:rsidRDefault="00C712DC" w:rsidP="005B6D94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3" w:type="dxa"/>
            <w:vAlign w:val="center"/>
          </w:tcPr>
          <w:p w:rsidR="00C712DC" w:rsidRPr="00CC498B" w:rsidRDefault="00C712DC" w:rsidP="00C712DC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CC498B">
              <w:rPr>
                <w:rFonts w:ascii="Palatino Linotype" w:hAnsi="Palatino Linotype"/>
                <w:sz w:val="22"/>
                <w:szCs w:val="22"/>
              </w:rPr>
              <w:lastRenderedPageBreak/>
              <w:t>Infor</w:t>
            </w:r>
            <w:r>
              <w:rPr>
                <w:rFonts w:ascii="Palatino Linotype" w:hAnsi="Palatino Linotype"/>
                <w:sz w:val="22"/>
                <w:szCs w:val="22"/>
              </w:rPr>
              <w:t>mation/Discussion</w:t>
            </w:r>
          </w:p>
        </w:tc>
      </w:tr>
      <w:tr w:rsidR="00C712DC" w:rsidRPr="00E66FD7" w:rsidTr="005B6D94">
        <w:trPr>
          <w:trHeight w:val="701"/>
        </w:trPr>
        <w:tc>
          <w:tcPr>
            <w:tcW w:w="2595" w:type="dxa"/>
            <w:vAlign w:val="center"/>
          </w:tcPr>
          <w:p w:rsidR="00C712DC" w:rsidRDefault="00C712DC" w:rsidP="005B6D94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DRE Presentation</w:t>
            </w:r>
          </w:p>
        </w:tc>
        <w:tc>
          <w:tcPr>
            <w:tcW w:w="8399" w:type="dxa"/>
          </w:tcPr>
          <w:p w:rsidR="00C712DC" w:rsidRDefault="00C712DC" w:rsidP="005B6D94">
            <w:r>
              <w:t xml:space="preserve">DRE Presentation is the Wednesday of October 4, 2017 and set for 90 minutes.  </w:t>
            </w:r>
            <w:proofErr w:type="spellStart"/>
            <w:r>
              <w:t>Powerpoint</w:t>
            </w:r>
            <w:proofErr w:type="spellEnd"/>
            <w:r>
              <w:t xml:space="preserve"> - presentation.  IS will set up for presentation. Presenters will arrive </w:t>
            </w:r>
            <w:proofErr w:type="gramStart"/>
            <w:r>
              <w:t>at  11:30</w:t>
            </w:r>
            <w:proofErr w:type="gramEnd"/>
            <w:r>
              <w:t xml:space="preserve"> am for set up.  We need to reserve the room from 11:30 am - 2:00 pm.</w:t>
            </w:r>
          </w:p>
          <w:p w:rsidR="00C712DC" w:rsidRDefault="00C712DC" w:rsidP="005B6D94"/>
          <w:p w:rsidR="00C712DC" w:rsidRDefault="00C712DC" w:rsidP="005B6D94"/>
        </w:tc>
        <w:tc>
          <w:tcPr>
            <w:tcW w:w="3453" w:type="dxa"/>
            <w:vAlign w:val="center"/>
          </w:tcPr>
          <w:p w:rsidR="00C712DC" w:rsidRPr="00CC498B" w:rsidRDefault="00C712DC" w:rsidP="00C712DC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712DC" w:rsidRPr="00E66FD7" w:rsidTr="005B6D94">
        <w:trPr>
          <w:trHeight w:val="1223"/>
        </w:trPr>
        <w:tc>
          <w:tcPr>
            <w:tcW w:w="2595" w:type="dxa"/>
            <w:vAlign w:val="center"/>
          </w:tcPr>
          <w:p w:rsidR="00C712DC" w:rsidRDefault="00C712DC" w:rsidP="005B6D94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By-Law Sub Committee</w:t>
            </w:r>
          </w:p>
        </w:tc>
        <w:tc>
          <w:tcPr>
            <w:tcW w:w="8399" w:type="dxa"/>
          </w:tcPr>
          <w:p w:rsidR="00C712DC" w:rsidRDefault="00C712DC" w:rsidP="005B6D94">
            <w:r>
              <w:t xml:space="preserve">Mark reminded the members who volunteered to meet as a subcommittee addressing the By-laws that we needed to set up an appointment time to meet. Mark will send out an email. </w:t>
            </w:r>
          </w:p>
          <w:p w:rsidR="00C712DC" w:rsidRDefault="00C712DC" w:rsidP="005B6D94"/>
        </w:tc>
        <w:tc>
          <w:tcPr>
            <w:tcW w:w="3453" w:type="dxa"/>
            <w:vAlign w:val="center"/>
          </w:tcPr>
          <w:p w:rsidR="00C712DC" w:rsidRPr="00CC498B" w:rsidRDefault="00C712DC" w:rsidP="00C712DC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712DC" w:rsidRPr="00E66FD7" w:rsidTr="005B6D94">
        <w:trPr>
          <w:trHeight w:val="701"/>
        </w:trPr>
        <w:tc>
          <w:tcPr>
            <w:tcW w:w="2595" w:type="dxa"/>
            <w:vAlign w:val="center"/>
          </w:tcPr>
          <w:p w:rsidR="00C712DC" w:rsidRDefault="00C712DC" w:rsidP="005B6D94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Possession of Controlled Substances Offenses</w:t>
            </w:r>
          </w:p>
        </w:tc>
        <w:tc>
          <w:tcPr>
            <w:tcW w:w="8399" w:type="dxa"/>
          </w:tcPr>
          <w:p w:rsidR="00C712DC" w:rsidRDefault="00C712DC" w:rsidP="005B6D94"/>
          <w:p w:rsidR="00C712DC" w:rsidRDefault="00C712DC" w:rsidP="005B6D94">
            <w:r>
              <w:t xml:space="preserve">A </w:t>
            </w:r>
            <w:proofErr w:type="gramStart"/>
            <w:r>
              <w:t>handout which</w:t>
            </w:r>
            <w:proofErr w:type="gramEnd"/>
            <w:r>
              <w:t xml:space="preserve"> included and updated Possession of Controlled Substance offenses was passed out.</w:t>
            </w:r>
          </w:p>
          <w:p w:rsidR="00C712DC" w:rsidRDefault="00C712DC" w:rsidP="005B6D94"/>
        </w:tc>
        <w:tc>
          <w:tcPr>
            <w:tcW w:w="3453" w:type="dxa"/>
            <w:vAlign w:val="center"/>
          </w:tcPr>
          <w:p w:rsidR="00C712DC" w:rsidRPr="00CC498B" w:rsidRDefault="00C712DC" w:rsidP="00C712DC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712DC" w:rsidRPr="00E66FD7" w:rsidTr="005B6D94">
        <w:trPr>
          <w:trHeight w:val="701"/>
        </w:trPr>
        <w:tc>
          <w:tcPr>
            <w:tcW w:w="2595" w:type="dxa"/>
            <w:vAlign w:val="center"/>
          </w:tcPr>
          <w:p w:rsidR="00C712DC" w:rsidRDefault="00C712DC" w:rsidP="005B6D94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Community Updates</w:t>
            </w:r>
          </w:p>
        </w:tc>
        <w:tc>
          <w:tcPr>
            <w:tcW w:w="8399" w:type="dxa"/>
          </w:tcPr>
          <w:p w:rsidR="00C712DC" w:rsidRDefault="00C712DC" w:rsidP="005B6D94"/>
          <w:p w:rsidR="00C712DC" w:rsidRDefault="00C712DC" w:rsidP="005B6D94">
            <w:r>
              <w:t>Starting September 16th PCBH will be providing Saturday Services for Drug Court participants in their Monmouth location.  Services will include assessments, individual counseling, groups and drug screening</w:t>
            </w:r>
          </w:p>
          <w:p w:rsidR="00C712DC" w:rsidRDefault="00C712DC" w:rsidP="005B6D94"/>
          <w:p w:rsidR="00C712DC" w:rsidRDefault="00C712DC" w:rsidP="005B6D94">
            <w:r>
              <w:t xml:space="preserve">Sara Dotson stated PCBH will be hosting a CIT training October 23-27 </w:t>
            </w:r>
          </w:p>
          <w:p w:rsidR="00C712DC" w:rsidRDefault="00C712DC" w:rsidP="005B6D94">
            <w:pPr>
              <w:rPr>
                <w:b/>
              </w:rPr>
            </w:pPr>
          </w:p>
          <w:p w:rsidR="00C712DC" w:rsidRDefault="00C712DC" w:rsidP="005B6D94">
            <w:r>
              <w:t xml:space="preserve">Mark shared that PCBH will be hosting a presentation by a retired DEA agent at 5:30 pm Monday October 2nd at the Academy building. </w:t>
            </w:r>
          </w:p>
          <w:p w:rsidR="00C712DC" w:rsidRDefault="00C712DC" w:rsidP="005B6D94"/>
        </w:tc>
        <w:tc>
          <w:tcPr>
            <w:tcW w:w="3453" w:type="dxa"/>
            <w:vAlign w:val="center"/>
          </w:tcPr>
          <w:p w:rsidR="00C712DC" w:rsidRPr="00CC498B" w:rsidRDefault="00C712DC" w:rsidP="00C712DC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712DC" w:rsidRPr="00E66FD7" w:rsidTr="005B6D94">
        <w:trPr>
          <w:trHeight w:val="233"/>
        </w:trPr>
        <w:tc>
          <w:tcPr>
            <w:tcW w:w="2595" w:type="dxa"/>
            <w:vAlign w:val="center"/>
          </w:tcPr>
          <w:p w:rsidR="00C712DC" w:rsidRPr="00E66FD7" w:rsidRDefault="00C712DC" w:rsidP="005B6D94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Next Committee Meeting</w:t>
            </w:r>
          </w:p>
        </w:tc>
        <w:tc>
          <w:tcPr>
            <w:tcW w:w="8399" w:type="dxa"/>
            <w:vAlign w:val="center"/>
          </w:tcPr>
          <w:p w:rsidR="00C712DC" w:rsidRPr="00CC498B" w:rsidRDefault="00C712DC" w:rsidP="005B6D94">
            <w:pPr>
              <w:rPr>
                <w:rFonts w:ascii="Palatino Linotype" w:hAnsi="Palatino Linotyp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53" w:type="dxa"/>
          </w:tcPr>
          <w:p w:rsidR="00C712DC" w:rsidRPr="00CC498B" w:rsidRDefault="00C712DC" w:rsidP="005B6D94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October 4, 2017</w:t>
            </w:r>
            <w:r w:rsidRPr="00CC498B">
              <w:rPr>
                <w:rFonts w:ascii="Palatino Linotype" w:hAnsi="Palatino Linotype"/>
                <w:sz w:val="22"/>
                <w:szCs w:val="22"/>
              </w:rPr>
              <w:t xml:space="preserve"> ~ 12:00-1:00 p.m.</w:t>
            </w:r>
            <w:r w:rsidRPr="00CC498B">
              <w:rPr>
                <w:rFonts w:ascii="Palatino Linotype" w:hAnsi="Palatino Linotype"/>
                <w:sz w:val="22"/>
                <w:szCs w:val="22"/>
              </w:rPr>
              <w:br/>
              <w:t>BOC Board Room</w:t>
            </w:r>
          </w:p>
        </w:tc>
      </w:tr>
    </w:tbl>
    <w:p w:rsidR="00C712DC" w:rsidRPr="00E66FD7" w:rsidRDefault="00C712DC" w:rsidP="00C712DC">
      <w:pPr>
        <w:rPr>
          <w:rFonts w:ascii="Palatino Linotype" w:hAnsi="Palatino Linotype"/>
          <w:sz w:val="22"/>
          <w:szCs w:val="22"/>
        </w:rPr>
      </w:pPr>
    </w:p>
    <w:p w:rsidR="00BD0B15" w:rsidRDefault="00BD0B15">
      <w:bookmarkStart w:id="0" w:name="_GoBack"/>
      <w:bookmarkEnd w:id="0"/>
    </w:p>
    <w:sectPr w:rsidR="00BD0B15" w:rsidSect="00C02A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3C4A"/>
    <w:multiLevelType w:val="hybridMultilevel"/>
    <w:tmpl w:val="25A215EC"/>
    <w:lvl w:ilvl="0" w:tplc="C6A09F9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DC"/>
    <w:rsid w:val="00BD0B15"/>
    <w:rsid w:val="00C7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430C0-97AF-4B3D-9FD3-A6C57C8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1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2024-05-03T21:58:00Z</dcterms:created>
  <dcterms:modified xsi:type="dcterms:W3CDTF">2024-05-03T21:58:00Z</dcterms:modified>
</cp:coreProperties>
</file>